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Pr="008B6D91" w:rsidRDefault="006C414B" w:rsidP="008B6D91">
      <w:pPr>
        <w:spacing w:line="276" w:lineRule="auto"/>
        <w:jc w:val="both"/>
        <w:rPr>
          <w:rFonts w:asciiTheme="minorHAnsi" w:hAnsiTheme="minorHAnsi" w:cs="Arial"/>
          <w:b/>
          <w:bCs/>
          <w:sz w:val="20"/>
          <w:szCs w:val="20"/>
        </w:rPr>
      </w:pPr>
    </w:p>
    <w:p w:rsidR="006C414B" w:rsidRPr="008B6D91" w:rsidRDefault="00A82C5B" w:rsidP="008B6D91">
      <w:pPr>
        <w:pStyle w:val="Titolocopertina"/>
        <w:ind w:left="284"/>
        <w:jc w:val="both"/>
      </w:pPr>
      <w:r w:rsidRPr="008B6D91">
        <w:t xml:space="preserve">GARA PER </w:t>
      </w:r>
      <w:r w:rsidR="004D0A37" w:rsidRPr="008B6D91">
        <w:t>LA FORNITURA DI CARBURANTI PER AUTOTRAZIONE MEDIANTE BUONI ACQUISTO PER LE PUBBLICHE AMMINISTRAZIONI - ED. 9</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r w:rsidR="004D0A37">
        <w:t>GENERALE E 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433C5F">
      <w:pPr>
        <w:spacing w:line="276" w:lineRule="auto"/>
        <w:ind w:left="284"/>
        <w:jc w:val="both"/>
        <w:rPr>
          <w:rFonts w:asciiTheme="minorHAnsi" w:hAnsiTheme="minorHAnsi" w:cs="Arial"/>
          <w:bCs/>
          <w:sz w:val="20"/>
          <w:szCs w:val="20"/>
        </w:rPr>
      </w:pPr>
      <w:hyperlink r:id="rId8" w:history="1">
        <w:r w:rsidR="004D0A37" w:rsidRPr="00CF6390">
          <w:rPr>
            <w:rStyle w:val="Collegamentoipertestuale"/>
            <w:rFonts w:asciiTheme="minorHAnsi" w:hAnsiTheme="minorHAnsi" w:cs="Arial"/>
            <w:bCs/>
            <w:sz w:val="20"/>
            <w:szCs w:val="20"/>
          </w:rPr>
          <w:t>seusconsip@postacert.consip.it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5977FE" w:rsidRDefault="00A82C5B">
      <w:pPr>
        <w:spacing w:line="276" w:lineRule="auto"/>
        <w:ind w:left="284"/>
        <w:jc w:val="both"/>
        <w:rPr>
          <w:rFonts w:asciiTheme="minorHAnsi" w:hAnsiTheme="minorHAnsi" w:cs="Arial"/>
          <w:bCs/>
          <w:sz w:val="20"/>
          <w:szCs w:val="20"/>
        </w:rPr>
      </w:pPr>
      <w:r w:rsidRPr="005977FE">
        <w:rPr>
          <w:rFonts w:asciiTheme="minorHAnsi" w:hAnsiTheme="minorHAnsi" w:cs="Arial"/>
          <w:bCs/>
          <w:sz w:val="20"/>
          <w:szCs w:val="20"/>
        </w:rPr>
        <w:t xml:space="preserve">Roma, </w:t>
      </w:r>
      <w:r w:rsidR="005977FE" w:rsidRPr="005977FE">
        <w:rPr>
          <w:rFonts w:asciiTheme="minorHAnsi" w:hAnsiTheme="minorHAnsi" w:cs="Arial"/>
          <w:bCs/>
          <w:sz w:val="20"/>
          <w:szCs w:val="20"/>
        </w:rPr>
        <w:t>18/02/2022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B6D91" w:rsidRDefault="00A82C5B">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8B6D91" w:rsidRDefault="006C414B">
      <w:pPr>
        <w:pStyle w:val="BodyText21"/>
        <w:spacing w:line="276" w:lineRule="auto"/>
        <w:ind w:left="284"/>
        <w:rPr>
          <w:rFonts w:asciiTheme="minorHAnsi" w:hAnsiTheme="minorHAnsi" w:cs="Arial"/>
          <w:bCs/>
          <w:sz w:val="20"/>
          <w:szCs w:val="20"/>
        </w:rPr>
      </w:pPr>
    </w:p>
    <w:p w:rsidR="006C414B" w:rsidRPr="008B6D91" w:rsidRDefault="00A82C5B">
      <w:pPr>
        <w:pStyle w:val="BodyText21"/>
        <w:spacing w:line="276" w:lineRule="auto"/>
        <w:ind w:left="284"/>
        <w:rPr>
          <w:rFonts w:ascii="Calibri" w:hAnsi="Calibri" w:cs="Arial"/>
          <w:sz w:val="20"/>
          <w:szCs w:val="20"/>
        </w:rPr>
      </w:pPr>
      <w:r w:rsidRPr="008B6D91">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8B6D91" w:rsidRDefault="00A82C5B" w:rsidP="00FD1DA2">
      <w:pPr>
        <w:pStyle w:val="BodyText21"/>
        <w:numPr>
          <w:ilvl w:val="0"/>
          <w:numId w:val="2"/>
        </w:numPr>
        <w:tabs>
          <w:tab w:val="num" w:pos="360"/>
        </w:tabs>
        <w:spacing w:line="276" w:lineRule="auto"/>
        <w:ind w:left="568" w:hanging="284"/>
        <w:rPr>
          <w:rFonts w:ascii="Calibri" w:hAnsi="Calibri" w:cs="Arial"/>
          <w:sz w:val="20"/>
          <w:szCs w:val="20"/>
        </w:rPr>
      </w:pPr>
      <w:r w:rsidRPr="008B6D91">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8B6D91" w:rsidRDefault="00A82C5B" w:rsidP="00FD1DA2">
      <w:pPr>
        <w:pStyle w:val="BodyText21"/>
        <w:numPr>
          <w:ilvl w:val="0"/>
          <w:numId w:val="2"/>
        </w:numPr>
        <w:tabs>
          <w:tab w:val="num" w:pos="360"/>
        </w:tabs>
        <w:spacing w:line="276" w:lineRule="auto"/>
        <w:ind w:left="568" w:hanging="284"/>
        <w:rPr>
          <w:rFonts w:ascii="Calibri" w:hAnsi="Calibri" w:cs="Arial"/>
          <w:sz w:val="20"/>
          <w:szCs w:val="20"/>
        </w:rPr>
      </w:pPr>
      <w:r w:rsidRPr="008B6D91">
        <w:rPr>
          <w:rFonts w:ascii="Calibri" w:hAnsi="Calibri" w:cs="Arial"/>
          <w:sz w:val="20"/>
          <w:szCs w:val="20"/>
        </w:rPr>
        <w:t>ottenere la più proficua partecipazione da parte dei soggetti interessati;</w:t>
      </w:r>
    </w:p>
    <w:p w:rsidR="006C414B" w:rsidRPr="008B6D91" w:rsidRDefault="00A82C5B" w:rsidP="00FD1DA2">
      <w:pPr>
        <w:pStyle w:val="BodyText21"/>
        <w:numPr>
          <w:ilvl w:val="0"/>
          <w:numId w:val="2"/>
        </w:numPr>
        <w:tabs>
          <w:tab w:val="num" w:pos="360"/>
        </w:tabs>
        <w:spacing w:line="276" w:lineRule="auto"/>
        <w:ind w:left="568" w:hanging="284"/>
        <w:rPr>
          <w:rFonts w:ascii="Calibri" w:hAnsi="Calibri" w:cs="Arial"/>
          <w:sz w:val="20"/>
          <w:szCs w:val="20"/>
        </w:rPr>
      </w:pPr>
      <w:r w:rsidRPr="008B6D91">
        <w:rPr>
          <w:rFonts w:ascii="Calibri" w:hAnsi="Calibri" w:cs="Arial"/>
          <w:sz w:val="20"/>
          <w:szCs w:val="20"/>
        </w:rPr>
        <w:t>pubblicizzare al meglio le caratteristiche qualitative e tecniche dei beni e servizi oggetto di analisi;</w:t>
      </w:r>
    </w:p>
    <w:p w:rsidR="006C414B" w:rsidRPr="008B6D91" w:rsidRDefault="00A82C5B" w:rsidP="00FD1DA2">
      <w:pPr>
        <w:pStyle w:val="BodyText21"/>
        <w:numPr>
          <w:ilvl w:val="0"/>
          <w:numId w:val="2"/>
        </w:numPr>
        <w:tabs>
          <w:tab w:val="num" w:pos="360"/>
        </w:tabs>
        <w:spacing w:line="276" w:lineRule="auto"/>
        <w:ind w:left="568" w:hanging="284"/>
        <w:rPr>
          <w:rFonts w:ascii="Calibri" w:hAnsi="Calibri" w:cs="Arial"/>
          <w:sz w:val="20"/>
          <w:szCs w:val="20"/>
        </w:rPr>
      </w:pPr>
      <w:r w:rsidRPr="008B6D91">
        <w:rPr>
          <w:rFonts w:ascii="Calibri" w:hAnsi="Calibri" w:cs="Arial"/>
          <w:sz w:val="20"/>
          <w:szCs w:val="20"/>
        </w:rPr>
        <w:t xml:space="preserve">ricevere, da parte dei soggetti interessati, osservazioni e suggerimenti per una più </w:t>
      </w:r>
      <w:r w:rsidR="00A83079" w:rsidRPr="008B6D91">
        <w:rPr>
          <w:rFonts w:ascii="Calibri" w:hAnsi="Calibri" w:cs="Arial"/>
          <w:sz w:val="20"/>
          <w:szCs w:val="20"/>
        </w:rPr>
        <w:t>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Pr="008B6D91">
        <w:rPr>
          <w:rFonts w:asciiTheme="minorHAnsi" w:hAnsiTheme="minorHAnsi" w:cs="Arial"/>
          <w:bCs/>
          <w:sz w:val="20"/>
          <w:szCs w:val="20"/>
        </w:rPr>
        <w:t>“</w:t>
      </w:r>
      <w:r w:rsidR="00A83079" w:rsidRPr="008B6D91">
        <w:rPr>
          <w:rFonts w:asciiTheme="minorHAnsi" w:hAnsiTheme="minorHAnsi" w:cs="Arial"/>
          <w:bCs/>
          <w:sz w:val="20"/>
          <w:szCs w:val="20"/>
        </w:rPr>
        <w:t>“Fornitura di carburanti per autotrazione mediante buoni acquisto</w:t>
      </w:r>
      <w:r w:rsidRPr="008B6D91">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Pr="005977FE">
        <w:rPr>
          <w:rFonts w:asciiTheme="minorHAnsi" w:hAnsiTheme="minorHAnsi" w:cs="Arial"/>
          <w:b/>
          <w:bCs/>
          <w:sz w:val="20"/>
          <w:szCs w:val="20"/>
          <w:u w:val="single"/>
        </w:rPr>
        <w:t>15 giorni solari</w:t>
      </w:r>
      <w:r w:rsidRPr="005977FE">
        <w:rPr>
          <w:rFonts w:asciiTheme="minorHAnsi" w:hAnsiTheme="minorHAnsi" w:cs="Arial"/>
          <w:bCs/>
          <w:sz w:val="20"/>
          <w:szCs w:val="20"/>
          <w:u w:val="single"/>
        </w:rPr>
        <w:t xml:space="preserve"> dalla data odiern</w:t>
      </w:r>
      <w:r>
        <w:rPr>
          <w:rFonts w:asciiTheme="minorHAnsi" w:hAnsiTheme="minorHAnsi" w:cs="Arial"/>
          <w:bCs/>
          <w:sz w:val="20"/>
          <w:szCs w:val="20"/>
          <w:u w:val="single"/>
        </w:rPr>
        <w:t>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A83079">
          <w:rPr>
            <w:rStyle w:val="Collegamentoipertestuale"/>
            <w:rFonts w:asciiTheme="minorHAnsi" w:hAnsiTheme="minorHAnsi" w:cs="Arial"/>
            <w:bCs/>
            <w:sz w:val="20"/>
            <w:szCs w:val="20"/>
          </w:rPr>
          <w:t>seusconsip@postacert.consip.it</w:t>
        </w:r>
      </w:hyperlink>
      <w:r w:rsidR="00A83079">
        <w:rPr>
          <w:rStyle w:val="Collegamentoipertestuale"/>
          <w:rFonts w:asciiTheme="minorHAnsi" w:hAnsiTheme="minorHAnsi" w:cs="Arial"/>
          <w:bCs/>
          <w:sz w:val="20"/>
          <w:szCs w:val="20"/>
        </w:rPr>
        <w:t>.</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A83079" w:rsidRPr="008B6D91" w:rsidRDefault="00A83079" w:rsidP="00A83079">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La Consip intendere bandire una gara d'appalto per la fornitura di carburanti per autotrazione mediante Buoni Acquisto per il parco autoveicoli della Pubblica Amministrazione.</w:t>
      </w:r>
    </w:p>
    <w:p w:rsidR="00A83079" w:rsidRPr="008B6D91" w:rsidRDefault="00A83079" w:rsidP="00A83079">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I rifornimenti di carburante potranno essere effettuati utilizzando i Buoni Acquisto presso i punti vendita stradali ed autostradali del/i fornitore/i aggiudicatario/i, presenti sul territorio nazionale.</w:t>
      </w:r>
    </w:p>
    <w:p w:rsidR="00A83079" w:rsidRPr="008B6D91" w:rsidRDefault="00A83079" w:rsidP="00A83079">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Il carburante rete rientra tra le merceologie di cui all’art. 1, comma 7, L. n. 135/2012.</w:t>
      </w:r>
    </w:p>
    <w:p w:rsidR="00A83079" w:rsidRPr="008B6D91" w:rsidRDefault="00A83079" w:rsidP="00A83079">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Il/i fornitore/i risultato/i aggiudicatario/i della gara sarà/saranno tenuto/i a rifornire tutte le Amministrazioni che risponderanno a criteri prestabiliti e che invieranno un ordinativo di fornitura, fino al raggiungimento di un importo massimo predefinito.</w:t>
      </w:r>
    </w:p>
    <w:p w:rsidR="006C414B" w:rsidRPr="008B6D91" w:rsidRDefault="00A83079" w:rsidP="00A83079">
      <w:pPr>
        <w:spacing w:line="360" w:lineRule="auto"/>
        <w:ind w:left="284"/>
        <w:jc w:val="both"/>
        <w:rPr>
          <w:rFonts w:asciiTheme="minorHAnsi" w:hAnsiTheme="minorHAnsi" w:cs="Arial"/>
          <w:bCs/>
          <w:sz w:val="20"/>
          <w:szCs w:val="20"/>
        </w:rPr>
      </w:pPr>
      <w:r w:rsidRPr="008B6D91">
        <w:rPr>
          <w:rFonts w:asciiTheme="minorHAnsi" w:hAnsiTheme="minorHAnsi" w:cs="Arial"/>
          <w:bCs/>
          <w:sz w:val="20"/>
          <w:szCs w:val="20"/>
        </w:rPr>
        <w:t>Si precisa che l’importo massimo non è garantito e che non è conosciuta a priori la distribuzione delle adesioni, sia in termini geografici che in termini di valore ordinato.</w:t>
      </w:r>
    </w:p>
    <w:p w:rsidR="00A83079" w:rsidRDefault="00A83079" w:rsidP="00A83079">
      <w:pPr>
        <w:spacing w:line="276" w:lineRule="auto"/>
        <w:ind w:left="284"/>
        <w:jc w:val="both"/>
        <w:rPr>
          <w:rFonts w:asciiTheme="minorHAnsi" w:hAnsiTheme="minorHAnsi" w:cs="Arial"/>
          <w:bCs/>
          <w:sz w:val="20"/>
          <w:szCs w:val="20"/>
        </w:rPr>
      </w:pPr>
      <w:r>
        <w:rPr>
          <w:rFonts w:asciiTheme="minorHAnsi" w:hAnsiTheme="minorHAnsi" w:cs="Arial"/>
          <w:b/>
          <w:bCs/>
          <w:sz w:val="20"/>
          <w:szCs w:val="20"/>
        </w:rPr>
        <w:t>Domande</w:t>
      </w:r>
    </w:p>
    <w:p w:rsidR="00A83079" w:rsidRDefault="00A83079" w:rsidP="00FD1DA2">
      <w:pPr>
        <w:numPr>
          <w:ilvl w:val="0"/>
          <w:numId w:val="4"/>
        </w:numPr>
        <w:spacing w:line="276" w:lineRule="auto"/>
        <w:ind w:left="284"/>
        <w:jc w:val="both"/>
        <w:rPr>
          <w:rFonts w:asciiTheme="minorHAnsi" w:hAnsiTheme="minorHAnsi" w:cs="Arial"/>
          <w:bCs/>
          <w:sz w:val="20"/>
          <w:szCs w:val="20"/>
        </w:rPr>
      </w:pPr>
      <w:r>
        <w:rPr>
          <w:rFonts w:asciiTheme="minorHAnsi" w:hAnsiTheme="minorHAnsi" w:cs="Arial"/>
          <w:bCs/>
          <w:sz w:val="20"/>
          <w:szCs w:val="20"/>
        </w:rPr>
        <w:t>Riportare una breve descrizione dell’azienda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Avete partecipato alle precedenti edizioni dell’iniziativa per la fornitura di carburanti rete mediante Buoni Acquisto? In caso contrario, dettagliarne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Siete interessati a partecipare alla gara in oggetto? In caso negativo, dettagliarne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pStyle w:val="Paragrafoelenco"/>
        <w:numPr>
          <w:ilvl w:val="0"/>
          <w:numId w:val="4"/>
        </w:numPr>
        <w:spacing w:line="360" w:lineRule="auto"/>
        <w:ind w:left="357" w:hanging="357"/>
        <w:jc w:val="both"/>
        <w:rPr>
          <w:rFonts w:asciiTheme="minorHAnsi" w:hAnsiTheme="minorHAnsi" w:cs="Arial"/>
          <w:bCs/>
          <w:sz w:val="20"/>
          <w:szCs w:val="20"/>
        </w:rPr>
      </w:pPr>
      <w:r>
        <w:rPr>
          <w:rFonts w:asciiTheme="minorHAnsi" w:hAnsiTheme="minorHAnsi" w:cs="Arial"/>
          <w:bCs/>
          <w:sz w:val="20"/>
          <w:szCs w:val="20"/>
        </w:rPr>
        <w:t>I Buoni Acquisto saranno spendibili presso tutti i punti vendita dell’aggiudicatario presenti sul territorio nazionale ed abilitati ad accettare i medesimi Buoni. Quali sono le aree del territorio italiano coperte dalla Vostra struttura logistica? Potete descrivere la Vostra Struttura di punti vendita da un punto di vista numerico e geografico almeno con dettaglio provinciale?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Si ipotizza di prevedere la consegna a domicilio dei Buoni. Ritenete congruo utilizzare questa tipologia di consegna? In caso contrario, indicare le motivazioni e soluzioni alternative (ad esempio ritiro presso Istituti di Credito, agenzie, punti vendita) e per ciascuna soluzione proposta indicare l’importo minimo (in valore nominale) ordinabile.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Si ipotizza di prevedere per i Buoni una validità di almeno 30 mesi a decorrere dalla data di consegna degli stessi. Ritenete congrua tale durata e, in caso affermativo, ritenete possibile offrire buoni con validità superiore a tale durata?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La precedente iniziativa prevedeva quale prezzo di riferimento cui applicare gli sconti offerti il prezzo Non Servito dei listini della C.C.I.A.A. di Milano</w:t>
      </w:r>
      <w:r w:rsidR="008B6D91">
        <w:rPr>
          <w:rFonts w:asciiTheme="minorHAnsi" w:hAnsiTheme="minorHAnsi" w:cs="Arial"/>
          <w:bCs/>
          <w:sz w:val="20"/>
          <w:szCs w:val="20"/>
        </w:rPr>
        <w:t>.</w:t>
      </w:r>
      <w:r>
        <w:rPr>
          <w:rFonts w:asciiTheme="minorHAnsi" w:hAnsiTheme="minorHAnsi" w:cs="Arial"/>
          <w:bCs/>
          <w:sz w:val="20"/>
          <w:szCs w:val="20"/>
        </w:rPr>
        <w:t xml:space="preserve"> Sapreste indicare eventuali listini alternativi?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Si ipotizza di prevedere Buoni di tipo </w:t>
      </w:r>
      <w:r>
        <w:rPr>
          <w:rFonts w:asciiTheme="minorHAnsi" w:hAnsiTheme="minorHAnsi" w:cs="Arial"/>
          <w:bCs/>
          <w:i/>
          <w:sz w:val="20"/>
          <w:szCs w:val="20"/>
        </w:rPr>
        <w:t>“usa e getta con importo a scalare”</w:t>
      </w:r>
      <w:r>
        <w:rPr>
          <w:rFonts w:asciiTheme="minorHAnsi" w:hAnsiTheme="minorHAnsi" w:cs="Arial"/>
          <w:bCs/>
          <w:sz w:val="20"/>
          <w:szCs w:val="20"/>
        </w:rPr>
        <w:t xml:space="preserve">, </w:t>
      </w:r>
      <w:r>
        <w:rPr>
          <w:rFonts w:asciiTheme="minorHAnsi" w:hAnsiTheme="minorHAnsi" w:cs="Arial"/>
          <w:bCs/>
          <w:i/>
          <w:sz w:val="20"/>
          <w:szCs w:val="20"/>
        </w:rPr>
        <w:t>“usa e getta utilizzabili in unica soluzione”</w:t>
      </w:r>
      <w:r>
        <w:rPr>
          <w:rFonts w:asciiTheme="minorHAnsi" w:hAnsiTheme="minorHAnsi" w:cs="Arial"/>
          <w:bCs/>
          <w:sz w:val="20"/>
          <w:szCs w:val="20"/>
        </w:rPr>
        <w:t xml:space="preserve"> e buoni di tipo </w:t>
      </w:r>
      <w:r>
        <w:rPr>
          <w:rFonts w:asciiTheme="minorHAnsi" w:hAnsiTheme="minorHAnsi" w:cs="Arial"/>
          <w:bCs/>
          <w:i/>
          <w:sz w:val="20"/>
          <w:szCs w:val="20"/>
        </w:rPr>
        <w:t>“ricaricabile”</w:t>
      </w:r>
      <w:r>
        <w:rPr>
          <w:rFonts w:asciiTheme="minorHAnsi" w:hAnsiTheme="minorHAnsi" w:cs="Arial"/>
          <w:bCs/>
          <w:sz w:val="20"/>
          <w:szCs w:val="20"/>
        </w:rPr>
        <w:t>; potreste indicare quale/i tipologia/e di Buoni la Vostra Azienda è in grado di mettere a disposizione della propria clientela?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Per ciascuna tipologia di cui alla precedente domanda n° 8, potreste indicarne: il tipo di supporto (carta/plastica), il valore nominale unitario e ed eventuali multipli minimi di acquisto (es.: Buoni cartacei da 10 euro acquistabili in multipli di 10 Buoni; Buoni plastificati ricaricabili con ricarica unitaria minima di x Euro e massima di y Euro;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Per ciascuna tipologia di cui alla precedente domanda n° 8, potreste indicare se, in caso di furto o smarrimento, è possibile bloccarne l’utilizzo e recuperarne il credito? Dettagliare eventualmente la procedura ed eventuali costi a carico del Cliente.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Per ciascuna tipologia di cui alla precedente domanda n° 8, potreste indicare se ne è possibile l’utilizzo in modalità Non Servito e, eventualmente, con quali limitazioni (es.: solo Non Servito presidiato)?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pStyle w:val="Paragrafoelenco"/>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Diversamente dalle precedenti edizioni, si ipotizza di prevedere, in capo al Fornitore, l’obbligo di sostituzione dei Buoni scaduti e non utilizzati entro i termini di durata contrattuale. Ritenete che tale clausola possa pregiudicare la Vostra partecipazione all’iniziativa? In caso di risposta negativa, dettagliare la procedura prevista ed eventuali costi a carico del Cliente.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pStyle w:val="Paragrafoelenco"/>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Diversamente dalle precedenti edizioni, si ipotizza di prevedere, in capo al Fornitore, l’obbligo di restituzione dell’importo dei Buoni scaduti e non utilizzati entro i termini contrattuali. Ritenete che tale clausola possa pregiudicare la Vostra partecipazione all’iniziativa?</w:t>
      </w:r>
      <w:r>
        <w:t xml:space="preserve"> </w:t>
      </w:r>
      <w:r>
        <w:rPr>
          <w:rFonts w:asciiTheme="minorHAnsi" w:hAnsiTheme="minorHAnsi" w:cs="Arial"/>
          <w:bCs/>
          <w:sz w:val="20"/>
          <w:szCs w:val="20"/>
        </w:rPr>
        <w:t>In caso di risposta negativa, dettagliare la procedura prevista ed eventuali costi a carico del Cliente.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FD1DA2">
      <w:pPr>
        <w:numPr>
          <w:ilvl w:val="0"/>
          <w:numId w:val="4"/>
        </w:numPr>
        <w:spacing w:before="240" w:line="276" w:lineRule="auto"/>
        <w:ind w:left="283" w:hanging="357"/>
        <w:jc w:val="both"/>
        <w:rPr>
          <w:rFonts w:asciiTheme="minorHAnsi" w:hAnsiTheme="minorHAnsi" w:cs="Arial"/>
          <w:bCs/>
          <w:sz w:val="20"/>
          <w:szCs w:val="20"/>
        </w:rPr>
      </w:pPr>
      <w:r>
        <w:rPr>
          <w:rFonts w:asciiTheme="minorHAnsi" w:hAnsiTheme="minorHAnsi" w:cs="Arial"/>
          <w:bCs/>
          <w:sz w:val="20"/>
          <w:szCs w:val="20"/>
        </w:rPr>
        <w:t>Spazio riservato ad ulteriori segnalazioni.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3079" w:rsidTr="00A83079">
        <w:trPr>
          <w:trHeight w:val="1757"/>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A83079" w:rsidRDefault="00A83079">
            <w:pPr>
              <w:ind w:left="284"/>
              <w:jc w:val="both"/>
              <w:rPr>
                <w:rFonts w:asciiTheme="minorHAnsi" w:hAnsiTheme="minorHAnsi" w:cs="Arial"/>
                <w:bCs/>
                <w:sz w:val="20"/>
                <w:szCs w:val="20"/>
              </w:rPr>
            </w:pPr>
          </w:p>
        </w:tc>
      </w:tr>
    </w:tbl>
    <w:p w:rsidR="00A83079" w:rsidRDefault="00A83079" w:rsidP="00A83079">
      <w:pPr>
        <w:spacing w:line="276" w:lineRule="auto"/>
        <w:jc w:val="both"/>
        <w:rPr>
          <w:rFonts w:asciiTheme="minorHAnsi" w:hAnsiTheme="minorHAnsi" w:cs="Arial"/>
          <w:bCs/>
          <w:sz w:val="20"/>
          <w:szCs w:val="20"/>
        </w:rPr>
      </w:pPr>
    </w:p>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Pr="005977FE" w:rsidRDefault="006C414B">
      <w:pPr>
        <w:jc w:val="both"/>
        <w:rPr>
          <w:rFonts w:ascii="Trebuchet MS" w:hAnsi="Trebuchet MS" w:cs="Arial"/>
          <w:i/>
          <w:sz w:val="20"/>
          <w:szCs w:val="20"/>
        </w:rPr>
      </w:pPr>
    </w:p>
    <w:p w:rsidR="006C414B" w:rsidRPr="005977FE" w:rsidRDefault="006C414B">
      <w:pPr>
        <w:jc w:val="both"/>
        <w:rPr>
          <w:rFonts w:ascii="Trebuchet MS" w:hAnsi="Trebuchet MS" w:cs="Arial"/>
          <w:i/>
          <w:sz w:val="20"/>
          <w:szCs w:val="20"/>
        </w:rPr>
      </w:pPr>
    </w:p>
    <w:p w:rsidR="006C414B" w:rsidRPr="005977FE" w:rsidRDefault="006C414B">
      <w:pPr>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5977FE" w:rsidRPr="005977F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5977FE" w:rsidRDefault="00A82C5B">
            <w:pPr>
              <w:jc w:val="center"/>
              <w:rPr>
                <w:rFonts w:ascii="Trebuchet MS" w:hAnsi="Trebuchet MS"/>
                <w:b/>
                <w:sz w:val="22"/>
                <w:szCs w:val="22"/>
              </w:rPr>
            </w:pPr>
            <w:r w:rsidRPr="005977FE">
              <w:rPr>
                <w:rFonts w:asciiTheme="minorHAnsi" w:hAnsiTheme="minorHAnsi" w:cs="Arial"/>
                <w:b/>
                <w:bCs/>
                <w:sz w:val="20"/>
                <w:szCs w:val="20"/>
              </w:rPr>
              <w:t>Firma operatore economico</w:t>
            </w:r>
          </w:p>
        </w:tc>
      </w:tr>
      <w:tr w:rsidR="005977FE" w:rsidRPr="005977FE">
        <w:tc>
          <w:tcPr>
            <w:tcW w:w="2822" w:type="dxa"/>
            <w:tcBorders>
              <w:top w:val="single" w:sz="4" w:space="0" w:color="FFFFFF" w:themeColor="background1"/>
            </w:tcBorders>
            <w:shd w:val="clear" w:color="auto" w:fill="auto"/>
          </w:tcPr>
          <w:p w:rsidR="006C414B" w:rsidRPr="005977FE" w:rsidRDefault="00A82C5B">
            <w:pPr>
              <w:jc w:val="center"/>
              <w:rPr>
                <w:rFonts w:asciiTheme="minorHAnsi" w:hAnsiTheme="minorHAnsi" w:cs="Arial"/>
                <w:bCs/>
                <w:sz w:val="20"/>
                <w:szCs w:val="20"/>
                <w:highlight w:val="yellow"/>
              </w:rPr>
            </w:pPr>
            <w:r w:rsidRPr="005977FE">
              <w:rPr>
                <w:rFonts w:asciiTheme="minorHAnsi" w:hAnsiTheme="minorHAnsi" w:cs="Arial"/>
                <w:bCs/>
                <w:sz w:val="20"/>
                <w:szCs w:val="20"/>
              </w:rPr>
              <w:t>[Nome e Cognome]</w:t>
            </w:r>
          </w:p>
        </w:tc>
      </w:tr>
      <w:tr w:rsidR="005977FE" w:rsidRPr="005977FE">
        <w:trPr>
          <w:trHeight w:val="413"/>
        </w:trPr>
        <w:tc>
          <w:tcPr>
            <w:tcW w:w="2822" w:type="dxa"/>
            <w:shd w:val="clear" w:color="auto" w:fill="auto"/>
          </w:tcPr>
          <w:p w:rsidR="006C414B" w:rsidRPr="005977FE" w:rsidRDefault="006C414B">
            <w:pPr>
              <w:jc w:val="both"/>
              <w:rPr>
                <w:rFonts w:ascii="Trebuchet MS" w:hAnsi="Trebuchet MS" w:cs="Arial"/>
                <w:bCs/>
                <w:i/>
                <w:sz w:val="20"/>
                <w:szCs w:val="20"/>
                <w:highlight w:val="yellow"/>
              </w:rPr>
            </w:pPr>
          </w:p>
          <w:p w:rsidR="006C414B" w:rsidRPr="005977FE" w:rsidRDefault="006C414B">
            <w:pPr>
              <w:jc w:val="both"/>
              <w:rPr>
                <w:rFonts w:ascii="Trebuchet MS" w:hAnsi="Trebuchet MS" w:cs="Arial"/>
                <w:bCs/>
                <w:i/>
                <w:sz w:val="20"/>
                <w:szCs w:val="20"/>
                <w:highlight w:val="yellow"/>
              </w:rPr>
            </w:pPr>
          </w:p>
          <w:p w:rsidR="006C414B" w:rsidRPr="005977FE" w:rsidRDefault="00A82C5B">
            <w:pPr>
              <w:jc w:val="center"/>
              <w:rPr>
                <w:rFonts w:ascii="Trebuchet MS" w:hAnsi="Trebuchet MS" w:cs="Arial"/>
                <w:bCs/>
                <w:i/>
                <w:sz w:val="20"/>
                <w:szCs w:val="20"/>
                <w:highlight w:val="yellow"/>
              </w:rPr>
            </w:pPr>
            <w:r w:rsidRPr="005977FE">
              <w:rPr>
                <w:rFonts w:ascii="Trebuchet MS" w:hAnsi="Trebuchet MS" w:cs="Arial"/>
                <w:bCs/>
                <w:i/>
                <w:sz w:val="20"/>
                <w:szCs w:val="20"/>
              </w:rPr>
              <w:t>_____________________</w:t>
            </w:r>
          </w:p>
        </w:tc>
      </w:tr>
    </w:tbl>
    <w:p w:rsidR="006C414B" w:rsidRPr="005977FE" w:rsidRDefault="006C414B" w:rsidP="005977FE">
      <w:pPr>
        <w:ind w:left="284"/>
        <w:rPr>
          <w:rFonts w:asciiTheme="minorHAnsi" w:hAnsiTheme="minorHAnsi" w:cs="Arial"/>
          <w:b/>
          <w:bCs/>
          <w:sz w:val="20"/>
          <w:szCs w:val="20"/>
        </w:rPr>
      </w:pPr>
      <w:bookmarkStart w:id="0" w:name="_GoBack"/>
      <w:bookmarkEnd w:id="0"/>
    </w:p>
    <w:sectPr w:rsidR="006C414B" w:rsidRPr="005977FE">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5F" w:rsidRDefault="00433C5F">
      <w:r>
        <w:separator/>
      </w:r>
    </w:p>
  </w:endnote>
  <w:endnote w:type="continuationSeparator" w:id="0">
    <w:p w:rsidR="00433C5F" w:rsidRDefault="00433C5F">
      <w:r>
        <w:continuationSeparator/>
      </w:r>
    </w:p>
  </w:endnote>
  <w:endnote w:type="continuationNotice" w:id="1">
    <w:p w:rsidR="00433C5F" w:rsidRDefault="00433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77F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77FE">
                            <w:rPr>
                              <w:rFonts w:ascii="Calibri" w:hAnsi="Calibri"/>
                              <w:iCs/>
                              <w:noProof/>
                              <w:sz w:val="16"/>
                              <w:szCs w:val="16"/>
                            </w:rPr>
                            <w:t>8</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77F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77FE">
                      <w:rPr>
                        <w:rFonts w:ascii="Calibri" w:hAnsi="Calibri"/>
                        <w:iCs/>
                        <w:noProof/>
                        <w:sz w:val="16"/>
                        <w:szCs w:val="16"/>
                      </w:rPr>
                      <w:t>8</w:t>
                    </w:r>
                    <w:r>
                      <w:rPr>
                        <w:rFonts w:ascii="Calibri" w:hAnsi="Calibri"/>
                        <w:iCs/>
                        <w:sz w:val="16"/>
                        <w:szCs w:val="16"/>
                      </w:rPr>
                      <w:fldChar w:fldCharType="end"/>
                    </w:r>
                  </w:p>
                </w:txbxContent>
              </v:textbox>
            </v:shape>
          </w:pict>
        </mc:Fallback>
      </mc:AlternateContent>
    </w:r>
    <w:r>
      <w:rPr>
        <w:rFonts w:asciiTheme="minorHAnsi" w:hAnsiTheme="minorHAnsi"/>
        <w:iCs/>
        <w:color w:val="C0C0C0"/>
        <w:sz w:val="16"/>
        <w:szCs w:val="16"/>
      </w:rPr>
      <w:t xml:space="preserve">Consultazione del mercato per </w:t>
    </w:r>
    <w:r w:rsidR="008B6D91" w:rsidRPr="008B6D91">
      <w:rPr>
        <w:rFonts w:asciiTheme="minorHAnsi" w:hAnsiTheme="minorHAnsi"/>
        <w:iCs/>
        <w:color w:val="C0C0C0"/>
        <w:sz w:val="16"/>
        <w:szCs w:val="16"/>
      </w:rPr>
      <w:t>la fornitura di carburante per autotrazione mediante Buoni Acquisto</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5F" w:rsidRDefault="00433C5F">
      <w:r>
        <w:separator/>
      </w:r>
    </w:p>
  </w:footnote>
  <w:footnote w:type="continuationSeparator" w:id="0">
    <w:p w:rsidR="00433C5F" w:rsidRDefault="00433C5F">
      <w:r>
        <w:continuationSeparator/>
      </w:r>
    </w:p>
  </w:footnote>
  <w:footnote w:type="continuationNotice" w:id="1">
    <w:p w:rsidR="00433C5F" w:rsidRDefault="00433C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3920E1"/>
    <w:rsid w:val="00433C5F"/>
    <w:rsid w:val="004A5686"/>
    <w:rsid w:val="004D0A37"/>
    <w:rsid w:val="005977FE"/>
    <w:rsid w:val="006C414B"/>
    <w:rsid w:val="006F3D75"/>
    <w:rsid w:val="008B6D91"/>
    <w:rsid w:val="00A82C5B"/>
    <w:rsid w:val="00A83079"/>
    <w:rsid w:val="00AA7587"/>
    <w:rsid w:val="00AF7473"/>
    <w:rsid w:val="00E57C36"/>
    <w:rsid w:val="00FD1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12987234">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08C4-F07A-4DDF-95B5-46CCEF68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1703</Words>
  <Characters>9713</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2022-02-18T07:52:00Z</dcterms:created>
  <dcterms:modified xsi:type="dcterms:W3CDTF">2022-02-18T07:52:00Z</dcterms:modified>
</cp:coreProperties>
</file>